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288" w:lineRule="auto"/>
        <w:jc w:val="left"/>
        <w:rPr>
          <w:rFonts w:hint="default" w:ascii="MS Sans Serif" w:hAnsi="MS Sans Serif"/>
          <w:color w:val="000000"/>
          <w:kern w:val="0"/>
          <w:sz w:val="23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default" w:ascii="宋体"/>
          <w:b/>
          <w:color w:val="000000"/>
          <w:kern w:val="0"/>
          <w:sz w:val="28"/>
          <w:szCs w:val="24"/>
        </w:rPr>
      </w:pPr>
      <w:r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  <w:t>哈密市商业银行理财业务</w:t>
      </w:r>
      <w:r>
        <w:rPr>
          <w:rFonts w:hint="default" w:ascii="宋体"/>
          <w:b/>
          <w:color w:val="000000"/>
          <w:kern w:val="0"/>
          <w:sz w:val="28"/>
          <w:szCs w:val="24"/>
        </w:rPr>
        <w:t xml:space="preserve"> </w:t>
      </w:r>
    </w:p>
    <w:p>
      <w:pPr>
        <w:autoSpaceDE w:val="0"/>
        <w:autoSpaceDN w:val="0"/>
        <w:adjustRightInd w:val="0"/>
        <w:spacing w:line="288" w:lineRule="auto"/>
        <w:jc w:val="left"/>
        <w:rPr>
          <w:rFonts w:hint="default" w:ascii="MS Sans Serif" w:hAnsi="MS Sans Serif"/>
          <w:color w:val="000000"/>
          <w:kern w:val="0"/>
          <w:sz w:val="8"/>
          <w:szCs w:val="24"/>
        </w:rPr>
      </w:pPr>
    </w:p>
    <w:p>
      <w:pPr>
        <w:autoSpaceDE w:val="0"/>
        <w:autoSpaceDN w:val="0"/>
        <w:adjustRightInd w:val="0"/>
        <w:spacing w:before="30" w:line="288" w:lineRule="auto"/>
        <w:ind w:left="15"/>
        <w:jc w:val="center"/>
        <w:rPr>
          <w:rFonts w:hint="default" w:ascii="宋体"/>
          <w:b/>
          <w:color w:val="000000"/>
          <w:kern w:val="0"/>
          <w:sz w:val="28"/>
          <w:szCs w:val="24"/>
        </w:rPr>
      </w:pPr>
      <w:r>
        <w:rPr>
          <w:rFonts w:hint="eastAsia" w:ascii="宋体"/>
          <w:b/>
          <w:color w:val="000000"/>
          <w:kern w:val="0"/>
          <w:sz w:val="28"/>
          <w:szCs w:val="24"/>
        </w:rPr>
        <w:t>20</w:t>
      </w:r>
      <w:r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  <w:t>20</w:t>
      </w:r>
      <w:r>
        <w:rPr>
          <w:rFonts w:hint="eastAsia" w:ascii="宋体"/>
          <w:b/>
          <w:color w:val="000000"/>
          <w:kern w:val="0"/>
          <w:sz w:val="28"/>
          <w:szCs w:val="24"/>
        </w:rPr>
        <w:t>年第</w:t>
      </w:r>
      <w:r>
        <w:rPr>
          <w:rFonts w:hint="eastAsia" w:ascii="宋体"/>
          <w:b/>
          <w:color w:val="000000"/>
          <w:kern w:val="0"/>
          <w:sz w:val="28"/>
          <w:szCs w:val="24"/>
          <w:lang w:val="en-US" w:eastAsia="zh-CN"/>
        </w:rPr>
        <w:t>1</w:t>
      </w:r>
      <w:r>
        <w:rPr>
          <w:rFonts w:hint="eastAsia" w:ascii="宋体"/>
          <w:b/>
          <w:color w:val="000000"/>
          <w:kern w:val="0"/>
          <w:sz w:val="28"/>
          <w:szCs w:val="24"/>
        </w:rPr>
        <w:t>季度报告</w:t>
      </w:r>
    </w:p>
    <w:p>
      <w:pPr>
        <w:autoSpaceDE w:val="0"/>
        <w:autoSpaceDN w:val="0"/>
        <w:adjustRightInd w:val="0"/>
        <w:spacing w:line="288" w:lineRule="auto"/>
        <w:jc w:val="left"/>
        <w:rPr>
          <w:rFonts w:hint="default" w:ascii="MS Sans Serif" w:hAnsi="MS Sans Serif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left"/>
        <w:rPr>
          <w:rFonts w:hint="default" w:ascii="MS Sans Serif" w:hAnsi="MS Sans Serif"/>
          <w:color w:val="000000"/>
          <w:kern w:val="0"/>
          <w:sz w:val="8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jc w:val="left"/>
        <w:rPr>
          <w:rFonts w:hint="default" w:ascii="MS Sans Serif" w:hAnsi="MS Sans Serif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before="30" w:line="288" w:lineRule="auto"/>
        <w:ind w:left="15" w:firstLine="482"/>
        <w:jc w:val="left"/>
        <w:rPr>
          <w:rFonts w:hint="default" w:ascii="宋体"/>
          <w:b/>
          <w:color w:val="000000"/>
          <w:kern w:val="0"/>
          <w:sz w:val="28"/>
          <w:szCs w:val="24"/>
        </w:rPr>
      </w:pPr>
      <w:r>
        <w:rPr>
          <w:rFonts w:hint="default" w:ascii="宋体"/>
          <w:b/>
          <w:color w:val="000000"/>
          <w:kern w:val="0"/>
          <w:sz w:val="28"/>
          <w:szCs w:val="24"/>
        </w:rPr>
        <w:t xml:space="preserve">    </w:t>
      </w:r>
    </w:p>
    <w:p>
      <w:pPr>
        <w:autoSpaceDE w:val="0"/>
        <w:autoSpaceDN w:val="0"/>
        <w:adjustRightInd w:val="0"/>
        <w:spacing w:line="288" w:lineRule="auto"/>
        <w:jc w:val="center"/>
        <w:rPr>
          <w:rFonts w:hint="default" w:ascii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before="30" w:line="288" w:lineRule="auto"/>
        <w:ind w:left="15" w:firstLine="482"/>
        <w:jc w:val="left"/>
        <w:rPr>
          <w:rFonts w:hint="default" w:ascii="宋体"/>
          <w:b/>
          <w:color w:val="000000"/>
          <w:kern w:val="0"/>
          <w:sz w:val="28"/>
          <w:szCs w:val="24"/>
        </w:rPr>
      </w:pPr>
      <w:r>
        <w:rPr>
          <w:rFonts w:hint="default" w:ascii="宋体"/>
          <w:b/>
          <w:color w:val="000000"/>
          <w:kern w:val="0"/>
          <w:sz w:val="28"/>
          <w:szCs w:val="24"/>
        </w:rPr>
        <w:t xml:space="preserve">          </w:t>
      </w:r>
    </w:p>
    <w:p>
      <w:pPr>
        <w:autoSpaceDE w:val="0"/>
        <w:autoSpaceDN w:val="0"/>
        <w:adjustRightInd w:val="0"/>
        <w:spacing w:line="288" w:lineRule="auto"/>
        <w:jc w:val="left"/>
        <w:rPr>
          <w:rFonts w:hint="default" w:ascii="宋体"/>
          <w:kern w:val="0"/>
          <w:sz w:val="24"/>
          <w:szCs w:val="24"/>
        </w:rPr>
        <w:sectPr>
          <w:headerReference r:id="rId3" w:type="default"/>
          <w:footerReference r:id="rId4" w:type="default"/>
          <w:pgSz w:w="11926" w:h="16867"/>
          <w:pgMar w:top="1046" w:right="1420" w:bottom="852" w:left="1420" w:header="851" w:footer="992" w:gutter="0"/>
          <w:cols w:space="720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</w:pPr>
      <w:r>
        <w:rPr>
          <w:rFonts w:hint="eastAsia" w:ascii="宋体" w:cs="宋体"/>
          <w:b/>
          <w:color w:val="000000"/>
          <w:sz w:val="24"/>
          <w:szCs w:val="24"/>
          <w:lang w:val="en-US" w:eastAsia="zh-CN"/>
        </w:rPr>
        <w:t>1、2020年第一季度自营理财产品累计发行情况：</w:t>
      </w:r>
    </w:p>
    <w:tbl>
      <w:tblPr>
        <w:tblStyle w:val="4"/>
        <w:tblW w:w="9278" w:type="dxa"/>
        <w:jc w:val="center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5"/>
        <w:gridCol w:w="2229"/>
        <w:gridCol w:w="1189"/>
        <w:gridCol w:w="1440"/>
        <w:gridCol w:w="1500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11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产品类别</w:t>
            </w:r>
          </w:p>
        </w:tc>
        <w:tc>
          <w:tcPr>
            <w:tcW w:w="222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产品类别细分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发行期次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发行款数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募集金额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（万元）</w:t>
            </w:r>
          </w:p>
        </w:tc>
        <w:tc>
          <w:tcPr>
            <w:tcW w:w="1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总募集金额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1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对私理财</w:t>
            </w:r>
          </w:p>
        </w:tc>
        <w:tc>
          <w:tcPr>
            <w:tcW w:w="222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非净值雁邻个人理财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共3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期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共7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款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49,929.50</w:t>
            </w:r>
          </w:p>
        </w:tc>
        <w:tc>
          <w:tcPr>
            <w:tcW w:w="181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131,616.50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1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2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净值型雁邻个人理财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共8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期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共12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款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81,687.00</w:t>
            </w:r>
          </w:p>
        </w:tc>
        <w:tc>
          <w:tcPr>
            <w:tcW w:w="181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10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同业理财</w:t>
            </w:r>
          </w:p>
        </w:tc>
        <w:tc>
          <w:tcPr>
            <w:tcW w:w="222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普通雁和同业理财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共3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期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共3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款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30,000.00</w:t>
            </w:r>
          </w:p>
        </w:tc>
        <w:tc>
          <w:tcPr>
            <w:tcW w:w="1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30,000.00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105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2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高端雁和同业理财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1期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共1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款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5,000.00</w:t>
            </w:r>
          </w:p>
        </w:tc>
        <w:tc>
          <w:tcPr>
            <w:tcW w:w="1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3334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共15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期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共23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款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166,616.50</w:t>
            </w:r>
          </w:p>
        </w:tc>
        <w:tc>
          <w:tcPr>
            <w:tcW w:w="18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166,616.50</w:t>
            </w:r>
          </w:p>
        </w:tc>
      </w:tr>
    </w:tbl>
    <w:tbl>
      <w:tblPr>
        <w:tblStyle w:val="5"/>
        <w:tblpPr w:leftFromText="180" w:rightFromText="180" w:vertAnchor="text" w:tblpX="10214" w:tblpY="-1638"/>
        <w:tblOverlap w:val="never"/>
        <w:tblW w:w="2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466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60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宋体" w:cs="宋体"/>
          <w:b/>
          <w:color w:val="000000"/>
          <w:sz w:val="24"/>
          <w:szCs w:val="24"/>
          <w:lang w:val="en-US" w:eastAsia="zh-CN"/>
        </w:rPr>
      </w:pPr>
      <w:r>
        <w:rPr>
          <w:rFonts w:hint="eastAsia" w:ascii="宋体" w:cs="宋体"/>
          <w:b/>
          <w:color w:val="000000"/>
          <w:sz w:val="24"/>
          <w:szCs w:val="24"/>
          <w:lang w:val="en-US" w:eastAsia="zh-CN"/>
        </w:rPr>
        <w:t>2、2020年第一季度自营理财到期兑付情况：</w:t>
      </w:r>
    </w:p>
    <w:tbl>
      <w:tblPr>
        <w:tblStyle w:val="4"/>
        <w:tblW w:w="8479" w:type="dxa"/>
        <w:jc w:val="center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1605"/>
        <w:gridCol w:w="2505"/>
        <w:gridCol w:w="2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产品类别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到期款数</w:t>
            </w:r>
          </w:p>
        </w:tc>
        <w:tc>
          <w:tcPr>
            <w:tcW w:w="25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兑付募集金额（万元）</w:t>
            </w:r>
          </w:p>
        </w:tc>
        <w:tc>
          <w:tcPr>
            <w:tcW w:w="26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兑付募集金额占比（%）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对私理财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共37款</w:t>
            </w:r>
          </w:p>
        </w:tc>
        <w:tc>
          <w:tcPr>
            <w:tcW w:w="25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104,813.00</w:t>
            </w:r>
          </w:p>
        </w:tc>
        <w:tc>
          <w:tcPr>
            <w:tcW w:w="26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70.91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同业理财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共3款</w:t>
            </w:r>
          </w:p>
        </w:tc>
        <w:tc>
          <w:tcPr>
            <w:tcW w:w="25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43,000.00</w:t>
            </w:r>
          </w:p>
        </w:tc>
        <w:tc>
          <w:tcPr>
            <w:tcW w:w="26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29.09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共40款</w:t>
            </w:r>
          </w:p>
        </w:tc>
        <w:tc>
          <w:tcPr>
            <w:tcW w:w="250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147,813.00</w:t>
            </w:r>
          </w:p>
        </w:tc>
        <w:tc>
          <w:tcPr>
            <w:tcW w:w="26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100.00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宋体" w:cs="宋体"/>
          <w:b/>
          <w:color w:val="000000"/>
          <w:sz w:val="24"/>
          <w:szCs w:val="24"/>
          <w:lang w:val="en-US" w:eastAsia="zh-CN"/>
        </w:rPr>
      </w:pPr>
      <w:r>
        <w:rPr>
          <w:rFonts w:hint="eastAsia" w:ascii="宋体" w:cs="宋体"/>
          <w:b/>
          <w:color w:val="000000"/>
          <w:sz w:val="24"/>
          <w:szCs w:val="24"/>
          <w:lang w:val="en-US" w:eastAsia="zh-CN"/>
        </w:rPr>
        <w:t>3、投资明细（见下表）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sectPr>
          <w:pgSz w:w="11926" w:h="16867"/>
          <w:pgMar w:top="1046" w:right="1420" w:bottom="852" w:left="1420" w:header="851" w:footer="992" w:gutter="0"/>
          <w:cols w:space="720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600" w:lineRule="exact"/>
        <w:ind w:left="420" w:leftChars="20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</w:pPr>
    </w:p>
    <w:tbl>
      <w:tblPr>
        <w:tblStyle w:val="4"/>
        <w:tblW w:w="149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9"/>
        <w:gridCol w:w="1821"/>
        <w:gridCol w:w="1025"/>
        <w:gridCol w:w="574"/>
        <w:gridCol w:w="930"/>
        <w:gridCol w:w="1650"/>
        <w:gridCol w:w="1485"/>
        <w:gridCol w:w="1675"/>
        <w:gridCol w:w="980"/>
        <w:gridCol w:w="1899"/>
        <w:gridCol w:w="11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理财产品名称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产品登记编码（中债）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产品类型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期限(天)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收益率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起息日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到期日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直接投资种类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间接投资种类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投资规模（元）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占比</w:t>
            </w:r>
          </w:p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（%）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哈密市商业银行“雁邻理财—丰益系列”人民币理财产品2020年第01期A款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C1229820000001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2020-01-15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2020-07-02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38264404.11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58.14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27328694.14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41.53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216901.75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哈密市商业银行“雁邻理财—丰益系列”人民币理财产品2020年第01期B款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C1229820000002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204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2020-01-15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2020-08-06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27116506.85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79.24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7052311.48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20.61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50181.67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哈密市商业银行“雁邻理财—丰益系列”人民币理财产品2020年第01期C款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C1229820000003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226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4.80%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2020-01-15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2020-08-28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79943479.45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79.95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19860823.98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19.86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188696.57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哈密市商业银行“雁邻理财—丰益系列”人民币理财产品2020年第02期B款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C1229820000005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197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2020-01-22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2020-08-06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73704856.99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77.92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20846115.6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22.04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45027.41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哈密市商业银行“雁邻理财—丰益系列”人民币理财产品2020年第02期C款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C1229820000006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219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4.80%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2020-01-22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2020-08-28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41628664.11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78.56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申万宏源哈密市商业银行2号单一资产管理计划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10377431.69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19.58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42568.31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908704.11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1.71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33631.78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79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哈密市商业银行“雁邻理财—丰益系列”人民币理财产品2019年第09期D款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C1229819000036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386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2019-03-13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2020-04-02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6224000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哈密市商业银行“雁邻理财—丰益系列”人民币理财产品2019年第10期D款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C1229819000040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2019-03-20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2020-04-02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3108000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哈密市商业银行“雁邻理财—丰益系列”人民币理财产品2019年第12期D款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C1229819000048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379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2019-04-03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2020-04-16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1900000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18.58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货币市场工具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8300000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81.15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28000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哈密市商业银行“雁邻理财—丰益系列”人民币理财产品2019年第13期D款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C1229819000052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372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2019-04-10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2020-04-16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货币市场工具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6400000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27000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哈密市商业银行“雁邻理财—丰益系列”人民币理财产品2019年第14期D款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C1229819000056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2019-04-17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2020-04-16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4626395.94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59.97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货币市场工具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3000000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38.89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88604.06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哈密市商业银行“雁邻理财—丰益系列”人民币理财产品2019年第15期D款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C1229819000060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366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2019-04-23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2020-04-23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7285656.2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25343.8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哈密市商业银行“雁邻理财—丰益系列”人民币理财产品2019年第16期D款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C1229819000064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363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4.55%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2019-04-26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2020-04-23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1513693.23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27.14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14306.77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4041143.71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72.45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8856.29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哈密市商业银行“雁邻理财—丰益系列”人民币理财产品2019年第18期D款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C1229819000072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2019-05-08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2020-05-07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992185.21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98.51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14991.75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1.49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79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哈密市商业银行“雁邻理财—丰益系列”人民币理财产品2019年第19期D款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C1229819000076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337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2019-05-15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2020-04-16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货币市场工具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3500000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哈密市商业银行“雁邻理财—丰益系列”人民币理财产品2019年第20期D款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C1229819000080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337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2019-05-22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2020-04-23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5739077.92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37502.64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哈密市商业银行“雁邻理财—丰益系列”人民币理财产品2019年第21期D款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C1229819000084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2019-05-29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2020-05-28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9212823.29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55176.71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哈密市商业银行“雁邻理财—丰益系列”人民币理财产品2019年第23期D款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C1229819000092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2019-06-12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2020-06-11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6313389.75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34610.25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0.55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哈密市商业银行“雁邻理财—丰益系列”人民币理财产品2019年第24期D款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C1229819000096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2019-06-19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2020-06-18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5650000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99.91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哈密市商业银行“雁邻理财—丰益系列”人民币理财产品2019年第25期D款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C1229819000100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386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2019-06-26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2020-07-16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5044806.71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98.40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82193.29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哈密市商业银行“雁邻理财—丰益系列”人民币理财产品2019年第27期D款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C1229819000108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372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2019-07-10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2020-07-16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1059010.96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95.06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54989.04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哈密市商业银行“雁邻理财—丰益系列”人民币理财产品2019年第29期D款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C1229819000116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4.40%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2019-07-24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2020-07-23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6279800.53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61.36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54199.47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3863448.77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37.75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36551.23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哈密市商业银行“雁邻理财—丰益系列”人民币理财产品2019年第30期D款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C1229819000120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372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4.62%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2019-07-31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2020-08-06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20956460.88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85.86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3450539.12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14.14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哈密市商业银行“雁邻理财—丰益系列”人民币理财产品2019年第33期C款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C1229819000131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274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2019-08-21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2020-05-21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15705617.58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57382.42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哈密市商业银行“雁邻理财—丰益系列”人民币理财产品2019年第34期C款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C1229819000135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274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4.80%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2019-08-28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2020-05-28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23931285.27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38.80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48178.84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37587060.44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60.94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108621.98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哈密市商业银行“雁邻理财—丰益系列”人民币理财产品2019年第36期D款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C1229819000144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2019-09-11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2020-09-10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3500000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6.29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163000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51000000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91.63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997930.84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1.79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哈密市商业银行“雁邻理财—丰益系列”人民币理财产品2019年第39期D款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C1229819000156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372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4.75%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2019-10-09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2020-10-15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30709441.39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60.40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290558.61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17754371.72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34.92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2091628.28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哈密市商业银行“雁邻理财—丰益系列”人民币理财产品2019年第40期B款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C1229819000158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183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4.30%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2019-10-16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2020-04-16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28184074.79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61.77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货币市场工具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17200000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37.70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239925.21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哈密市商业银行“雁邻理财—丰益系列”人民币理财产品2019年第41期C款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C1229819000163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274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4.50%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2019-10-23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2020-07-23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30229785.82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40.35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4570214.18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39558900.52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52.80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557099.48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哈密市商业银行“雁邻理财—丰益系列”人民币理财产品2019年第43期B款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C1229819000170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183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4.10%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2019-11-06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2020-05-07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34934739.18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22260.82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哈密市商业银行“雁邻理财—丰益系列”人民币理财产品2019年第45期B款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C1229819000192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177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2020-01-07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2020-07-02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42022944.93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79.93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10552055.07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20.07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哈密市商业银行“雁邻理财—丰益系列”人民币理财产品2019年第45期C款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C1229819000193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234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4.80%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2020-01-07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2020-08-28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79231805.48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79.94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19782906.86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19.96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96287.66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哈密市商业银行“雁邻理财—甜蜜盈”封闭式净值型理财产品2019年第01期B款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C1229819000178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198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2019-11-19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2020-6-4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16,364,103.21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17.03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5,333,896.79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5.55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23,450,292.13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24.40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549,707.87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46,115,244.01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47.99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4,284,755.99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4.46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哈密市商业银行“雁邻理财—甜蜜盈”封闭式净值型理财产品2019年第03期B款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C1229819000182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197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4.50%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2019-12-4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2020-6-18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29,745,115.48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38.68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8,054,884.52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10.47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36,657,831.95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47.67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42,168.05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2,304,687.98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92,312.02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哈密市商业银行“雁邻理财—甜蜜盈”封闭式净值型理财产品2019年第04期C款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C1229819000184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261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2019-12-11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2020-8-28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9,490,267.70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28.81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1,816,732.30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5.52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12,469,304.28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37.86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30,695.72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8,930,854.79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27.11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199,145.21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哈密市商业银行“雁邻理财—甜蜜盈”封闭式净值型理财产品2019年第04期D款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C1229819000185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2019-12-11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2020-12-10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8,108,709.26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23.31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1,691,290.74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11,882,520.80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34.16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117,479.20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12,645,652.24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36.35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343,347.76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哈密市商业银行“雁邻理财—甜蜜盈”封闭式净值型理财产品2019年第05期A款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C1229819000186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4.55%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2019-12-17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2020-4-2</w:t>
            </w:r>
          </w:p>
        </w:tc>
        <w:tc>
          <w:tcPr>
            <w:tcW w:w="16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15,000,000.00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25.42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3,680,728.77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40,322,271.23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68.34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哈密市商业银行“雁邻理财—甜蜜盈”封闭式净值型理财产品2020年第01期A款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C1229820000008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4.60%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2020-2-5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2020-5-7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25,595,586.47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26.81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374,413.53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20,102,102.34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21.06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297,897.66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40,278,999.45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42.19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8,821,000.55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哈密市商业银行“雁邻理财—甜蜜盈”封闭式净值型理财产品2020年第01期B款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C1229820000009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4.80%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2020-2-5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2020-7-23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18,992,984.61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19.00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954,015.39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39,521,857.09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39.54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478,142.91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39,892,584.23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39.91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107,415.77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哈密市商业银行“雁邻理财—甜蜜盈”封闭式净值型理财产品2020年第02期A款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C1229820000010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4.50%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2020-2-12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2020-5-14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12,741,031.98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37.57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3,258,968.02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9.61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3,100,000.00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9.14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14,649,083.47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43.20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159,916.53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哈密市商业银行“雁邻理财—甜蜜盈”封闭式净值型理财产品2020年第02期D款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C1229820000011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316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2020-2-12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2020-12-24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4,659,096.57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17.43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140,903.43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11,228,703.78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42.01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200,296.22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10,367,612.06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38.79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132,387.94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哈密市商业银行“雁邻理财—甜蜜盈”封闭式净值型理财产品2020年第03期A款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C1229820000012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4.50%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2020-2-19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2020-5-21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31,148,456.10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51.82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3,751,543.90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22,431,013.19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37.32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2,780,986.81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哈密市商业银行“雁邻理财—甜蜜盈”封闭式净值型理财产品2020年第04期A款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C1229820000014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4.50%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2020-2-26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2020-5-28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18,553,066.94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52.87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3,396,933.06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3,400,000.00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9,446,800.36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26.92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294,199.64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0.84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哈密市商业银行“雁邻理财—甜蜜盈”封闭式净值型理财产品2020年第04期C款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C1229820000015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253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4.75%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2020-2-26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2020-11-5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12,270,382.04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40.34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3,029,617.96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14,813,521.13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48.70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303,478.87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哈密市商业银行“雁邻理财—甜蜜盈”封闭式净值型理财产品2020年第05期A款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C1229820000016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4.50%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2020-3-4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2020-6-11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29,315,608.60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29.65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4,484,391.40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4.54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43,899,574.91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44.40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100,425.09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20,965,340.28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21.21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99,659.72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哈密市商业银行“雁邻理财—甜蜜盈”封闭式净值型理财产品2020年第06期A款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C1229820000019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4.40%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2020-3-11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2020-6-11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46,174,509.88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46.25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6,225,490.12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18,631,240.11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18.66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95,759.89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24,896,485.98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24.94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3,803,514.02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3.81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哈密市商业银行“雁邻理财—甜蜜盈”封闭式净值型理财产品2020年第07期A款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C1229820000021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4.30%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2020-3-18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2020-6-18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17,125,708.83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17.23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3,269,291.17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3.29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62,822,443.26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63.20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277,556.74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15,773,682.19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15.87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126,317.81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哈密市商业银行“雁邻理财—甜蜜盈”封闭式净值型理财产品2020年第08期A款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C1229820000023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4.20%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2020-3-25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2020-7-2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37,993,907.27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38.11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56,092.73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17,314,781.88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17.37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35,218.12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44,279,152.99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44.41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24,847.01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哈密市商业银行“雁邻理财—甜蜜盈”封闭式净值型理财产品2020年第08期C款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C1229820000024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封闭式净值型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239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4.30%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2020-3-25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2020-11-19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6,834,980.84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18.27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165,019.16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30,295,574.16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81.00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108,425.84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0" w:hRule="atLeast"/>
        </w:trPr>
        <w:tc>
          <w:tcPr>
            <w:tcW w:w="179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哈密市商业银行“雁和同业理财”保证收益型封闭式理财产品2020年第01期C款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C1229820A000001</w:t>
            </w:r>
          </w:p>
        </w:tc>
        <w:tc>
          <w:tcPr>
            <w:tcW w:w="102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保证收益型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4.00%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2020-1-8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2020-7-16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20,062,136.99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18,127,868.53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18.13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109,994.48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61,643,780.34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61.64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56,219.66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0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哈密市商业银行“雁和丰盈系列”高端（同业）客户人民币理财产品 2020 年第 01期 C款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C1229820A000002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非保本浮动收益型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4.00%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2020-1-15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2020-7-23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云南信托·大西部丝绸之路2号集合资金信托计划（云信信2016-168号）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股票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49,914,458.90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99.83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85,541.10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哈密市商业银行“雁和同业理财”保证收益型封闭式理财产品2020年第02期C款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C1229820A000003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保证收益型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254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3.95%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2020-3-17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2020-11-26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82,576,932.50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82.58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17,423,067.50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17.42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哈密市商业银行“雁和同业理财”保证收益型封闭式理财产品2020年第03期C款</w:t>
            </w:r>
          </w:p>
        </w:tc>
        <w:tc>
          <w:tcPr>
            <w:tcW w:w="182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C1229820A000004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保证收益型</w:t>
            </w:r>
          </w:p>
        </w:tc>
        <w:tc>
          <w:tcPr>
            <w:tcW w:w="57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282</w:t>
            </w:r>
          </w:p>
        </w:tc>
        <w:tc>
          <w:tcPr>
            <w:tcW w:w="93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4.00%</w:t>
            </w:r>
          </w:p>
        </w:tc>
        <w:tc>
          <w:tcPr>
            <w:tcW w:w="165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2020-3-17</w:t>
            </w:r>
          </w:p>
        </w:tc>
        <w:tc>
          <w:tcPr>
            <w:tcW w:w="148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2020-12-24</w:t>
            </w: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创金合信景源7号资产管理计划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27,126,817.14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27.13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73,182.86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鑫元基金—哈密银行—鑫合通50号资产管理计划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49,208,315.62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49.21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91,684.38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海富通哈密市商业银行一对一资产管理计划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债券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23,482,079.73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23.48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8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0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现金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17,920.27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0.02 </w:t>
            </w:r>
          </w:p>
        </w:tc>
      </w:tr>
    </w:tbl>
    <w:p>
      <w:pPr>
        <w:autoSpaceDE w:val="0"/>
        <w:autoSpaceDN w:val="0"/>
        <w:adjustRightInd w:val="0"/>
        <w:spacing w:line="288" w:lineRule="auto"/>
        <w:jc w:val="left"/>
        <w:rPr>
          <w:rFonts w:hint="default" w:ascii="MS Sans Serif" w:hAnsi="MS Sans Serif"/>
          <w:color w:val="000000"/>
          <w:kern w:val="0"/>
          <w:sz w:val="24"/>
          <w:szCs w:val="24"/>
        </w:rPr>
        <w:sectPr>
          <w:pgSz w:w="16867" w:h="11926" w:orient="landscape"/>
          <w:pgMar w:top="1420" w:right="1046" w:bottom="1420" w:left="852" w:header="851" w:footer="992" w:gutter="0"/>
          <w:cols w:space="720" w:num="1"/>
        </w:sectPr>
      </w:pPr>
    </w:p>
    <w:p>
      <w:pPr>
        <w:spacing w:line="288" w:lineRule="auto"/>
        <w:jc w:val="left"/>
        <w:rPr>
          <w:rFonts w:hint="default" w:ascii="MS Sans Serif" w:cs="MS Sans Serif"/>
          <w:color w:val="000000"/>
          <w:sz w:val="16"/>
          <w:szCs w:val="16"/>
        </w:rPr>
      </w:pPr>
    </w:p>
    <w:p>
      <w:pPr>
        <w:spacing w:before="30" w:line="288" w:lineRule="auto"/>
        <w:ind w:left="15"/>
        <w:jc w:val="left"/>
        <w:rPr>
          <w:rFonts w:hint="default" w:ascii="宋体" w:cs="宋体"/>
          <w:b/>
          <w:color w:val="000000"/>
          <w:sz w:val="24"/>
          <w:szCs w:val="24"/>
        </w:rPr>
      </w:pPr>
      <w:r>
        <w:rPr>
          <w:rFonts w:hint="eastAsia" w:ascii="宋体" w:cs="宋体"/>
          <w:b/>
          <w:color w:val="000000"/>
          <w:sz w:val="24"/>
          <w:szCs w:val="24"/>
          <w:lang w:val="en-US" w:eastAsia="zh-CN"/>
        </w:rPr>
        <w:t>4、</w:t>
      </w:r>
      <w:r>
        <w:rPr>
          <w:rFonts w:hint="eastAsia" w:ascii="宋体" w:cs="宋体"/>
          <w:b/>
          <w:color w:val="000000"/>
          <w:sz w:val="24"/>
          <w:szCs w:val="24"/>
        </w:rPr>
        <w:t>异常交易行为的专项说明</w:t>
      </w:r>
    </w:p>
    <w:p>
      <w:pPr>
        <w:spacing w:line="288" w:lineRule="auto"/>
        <w:jc w:val="left"/>
        <w:rPr>
          <w:rFonts w:hint="default" w:ascii="宋体" w:cs="宋体"/>
          <w:color w:val="000000"/>
          <w:sz w:val="24"/>
          <w:szCs w:val="24"/>
        </w:rPr>
      </w:pPr>
      <w:r>
        <w:rPr>
          <w:rFonts w:hint="default" w:ascii="宋体" w:hAnsi="宋体" w:cs="宋体"/>
          <w:color w:val="000000"/>
          <w:sz w:val="24"/>
          <w:szCs w:val="24"/>
        </w:rPr>
        <w:t xml:space="preserve">    </w:t>
      </w:r>
      <w:r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本计划本报告期内未发现异常交易行为。</w:t>
      </w:r>
    </w:p>
    <w:p>
      <w:r>
        <w:rPr>
          <w:rFonts w:hint="eastAsia" w:ascii="宋体" w:cs="宋体"/>
          <w:b/>
          <w:color w:val="000000"/>
          <w:sz w:val="24"/>
          <w:szCs w:val="24"/>
          <w:lang w:val="en-US" w:eastAsia="zh-CN"/>
        </w:rPr>
        <w:t>5、</w:t>
      </w:r>
      <w:r>
        <w:rPr>
          <w:rFonts w:hint="eastAsia" w:ascii="宋体" w:cs="宋体"/>
          <w:b/>
          <w:color w:val="000000"/>
          <w:sz w:val="24"/>
          <w:szCs w:val="24"/>
        </w:rPr>
        <w:t>本报告期关联交易汇报</w:t>
      </w:r>
    </w:p>
    <w:p>
      <w:pPr>
        <w:spacing w:line="288" w:lineRule="auto"/>
        <w:jc w:val="left"/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color w:val="000000"/>
          <w:sz w:val="24"/>
          <w:szCs w:val="24"/>
        </w:rPr>
        <w:t xml:space="preserve">   </w:t>
      </w:r>
      <w:r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理财资产管理人秉持勤勉尽责理念，根据《关于规范金融机构资产管理业务的指导意见》、《商业银行理财业务管理办法》对于重大关联交易信息披露的规定，本报告期内理财产品无重大关联交易情况。</w:t>
      </w:r>
    </w:p>
    <w:p>
      <w:pPr>
        <w:autoSpaceDE w:val="0"/>
        <w:autoSpaceDN w:val="0"/>
        <w:adjustRightInd w:val="0"/>
        <w:spacing w:line="288" w:lineRule="auto"/>
        <w:ind w:firstLine="480" w:firstLineChars="200"/>
        <w:jc w:val="right"/>
        <w:rPr>
          <w:rFonts w:hint="default" w:ascii="MS Sans Serif" w:hAnsi="MS Sans Serif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ind w:firstLine="480" w:firstLineChars="200"/>
        <w:jc w:val="right"/>
        <w:rPr>
          <w:rFonts w:hint="default" w:ascii="MS Sans Serif" w:hAnsi="MS Sans Serif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ind w:firstLine="480" w:firstLineChars="200"/>
        <w:jc w:val="right"/>
        <w:rPr>
          <w:rFonts w:hint="default" w:ascii="MS Sans Serif" w:hAnsi="MS Sans Serif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8" w:lineRule="auto"/>
        <w:ind w:firstLine="480" w:firstLineChars="200"/>
        <w:jc w:val="right"/>
        <w:rPr>
          <w:rFonts w:hint="default" w:ascii="MS Sans Serif" w:hAnsi="MS Sans Serif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before="30" w:line="288" w:lineRule="auto"/>
        <w:ind w:firstLine="482" w:firstLineChars="200"/>
        <w:jc w:val="right"/>
        <w:rPr>
          <w:rFonts w:hint="default" w:ascii="宋体"/>
          <w:b/>
          <w:color w:val="000000"/>
          <w:kern w:val="0"/>
          <w:sz w:val="24"/>
          <w:szCs w:val="24"/>
        </w:rPr>
      </w:pPr>
      <w:r>
        <w:rPr>
          <w:rFonts w:hint="eastAsia" w:ascii="宋体"/>
          <w:b/>
          <w:color w:val="000000"/>
          <w:kern w:val="0"/>
          <w:sz w:val="24"/>
          <w:szCs w:val="24"/>
          <w:lang w:val="en-US" w:eastAsia="zh-CN"/>
        </w:rPr>
        <w:t>哈密市商业银行股份</w:t>
      </w:r>
      <w:r>
        <w:rPr>
          <w:rFonts w:hint="eastAsia" w:ascii="宋体"/>
          <w:b/>
          <w:color w:val="000000"/>
          <w:kern w:val="0"/>
          <w:sz w:val="24"/>
          <w:szCs w:val="24"/>
        </w:rPr>
        <w:t>有限公司</w:t>
      </w:r>
    </w:p>
    <w:p>
      <w:pPr>
        <w:autoSpaceDE w:val="0"/>
        <w:autoSpaceDN w:val="0"/>
        <w:adjustRightInd w:val="0"/>
        <w:spacing w:before="30" w:line="288" w:lineRule="auto"/>
        <w:ind w:firstLine="6987" w:firstLineChars="2900"/>
        <w:jc w:val="both"/>
        <w:rPr>
          <w:rFonts w:hint="default" w:ascii="宋体"/>
          <w:b/>
          <w:color w:val="000000"/>
          <w:kern w:val="0"/>
          <w:sz w:val="24"/>
          <w:szCs w:val="24"/>
        </w:rPr>
      </w:pPr>
      <w:r>
        <w:rPr>
          <w:rFonts w:hint="eastAsia" w:ascii="宋体"/>
          <w:b/>
          <w:color w:val="000000"/>
          <w:kern w:val="0"/>
          <w:sz w:val="24"/>
          <w:szCs w:val="24"/>
          <w:lang w:val="en-US" w:eastAsia="zh-CN"/>
        </w:rPr>
        <w:t>2020</w:t>
      </w:r>
      <w:r>
        <w:rPr>
          <w:rFonts w:hint="eastAsia" w:ascii="宋体"/>
          <w:b/>
          <w:color w:val="000000"/>
          <w:kern w:val="0"/>
          <w:sz w:val="24"/>
          <w:szCs w:val="24"/>
        </w:rPr>
        <w:t>年</w:t>
      </w:r>
      <w:r>
        <w:rPr>
          <w:rFonts w:hint="eastAsia" w:ascii="宋体"/>
          <w:b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/>
          <w:b/>
          <w:color w:val="000000"/>
          <w:kern w:val="0"/>
          <w:sz w:val="24"/>
          <w:szCs w:val="24"/>
        </w:rPr>
        <w:t>月</w:t>
      </w:r>
      <w:r>
        <w:rPr>
          <w:rFonts w:hint="eastAsia" w:ascii="宋体"/>
          <w:b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/>
          <w:b/>
          <w:color w:val="000000"/>
          <w:kern w:val="0"/>
          <w:sz w:val="24"/>
          <w:szCs w:val="24"/>
        </w:rPr>
        <w:t>日</w:t>
      </w:r>
    </w:p>
    <w:p>
      <w:pPr>
        <w:autoSpaceDE w:val="0"/>
        <w:autoSpaceDN w:val="0"/>
        <w:adjustRightInd w:val="0"/>
        <w:spacing w:before="30" w:line="288" w:lineRule="auto"/>
        <w:ind w:firstLine="482" w:firstLineChars="200"/>
        <w:jc w:val="left"/>
        <w:rPr>
          <w:rFonts w:hint="default" w:ascii="宋体"/>
          <w:b/>
          <w:color w:val="000000"/>
          <w:kern w:val="0"/>
          <w:sz w:val="24"/>
          <w:szCs w:val="24"/>
        </w:rPr>
      </w:pPr>
      <w:r>
        <w:rPr>
          <w:rFonts w:hint="eastAsia" w:ascii="宋体"/>
          <w:b/>
          <w:color w:val="000000"/>
          <w:kern w:val="0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before="30" w:line="288" w:lineRule="auto"/>
        <w:ind w:firstLine="482" w:firstLineChars="200"/>
        <w:jc w:val="left"/>
        <w:rPr>
          <w:rFonts w:hint="default" w:ascii="宋体"/>
          <w:b/>
          <w:color w:val="000000"/>
          <w:kern w:val="0"/>
          <w:sz w:val="24"/>
          <w:szCs w:val="24"/>
        </w:rPr>
      </w:pPr>
      <w:r>
        <w:rPr>
          <w:rFonts w:hint="eastAsia" w:ascii="宋体"/>
          <w:b/>
          <w:color w:val="000000"/>
          <w:kern w:val="0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before="30" w:line="288" w:lineRule="auto"/>
        <w:ind w:firstLine="482" w:firstLineChars="200"/>
        <w:jc w:val="left"/>
        <w:rPr>
          <w:rFonts w:hint="default" w:ascii="宋体"/>
          <w:b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before="30" w:line="288" w:lineRule="auto"/>
        <w:ind w:firstLine="482" w:firstLineChars="200"/>
        <w:jc w:val="left"/>
        <w:rPr>
          <w:rFonts w:hint="default" w:ascii="宋体"/>
          <w:b/>
          <w:color w:val="000000"/>
          <w:kern w:val="0"/>
          <w:sz w:val="24"/>
          <w:szCs w:val="24"/>
        </w:rPr>
      </w:pPr>
      <w:r>
        <w:rPr>
          <w:rFonts w:hint="eastAsia" w:ascii="宋体"/>
          <w:b/>
          <w:color w:val="000000"/>
          <w:kern w:val="0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before="29" w:line="288" w:lineRule="auto"/>
        <w:ind w:left="15"/>
        <w:jc w:val="left"/>
        <w:rPr>
          <w:rFonts w:hint="default" w:ascii="宋体"/>
          <w:b/>
          <w:color w:val="000000"/>
          <w:kern w:val="0"/>
          <w:sz w:val="36"/>
          <w:szCs w:val="24"/>
        </w:rPr>
      </w:pPr>
      <w:r>
        <w:rPr>
          <w:rFonts w:hint="default" w:ascii="宋体" w:cs="宋体"/>
          <w:b/>
          <w:color w:val="000000"/>
          <w:sz w:val="36"/>
          <w:szCs w:val="36"/>
        </w:rPr>
        <w:br w:type="page"/>
      </w:r>
      <w:r>
        <w:rPr>
          <w:rFonts w:hint="eastAsia" w:ascii="宋体"/>
          <w:b/>
          <w:color w:val="000000"/>
          <w:kern w:val="0"/>
          <w:sz w:val="36"/>
          <w:szCs w:val="24"/>
        </w:rPr>
        <w:t>免责声明</w:t>
      </w:r>
    </w:p>
    <w:p>
      <w:pPr>
        <w:autoSpaceDE w:val="0"/>
        <w:autoSpaceDN w:val="0"/>
        <w:adjustRightInd w:val="0"/>
        <w:spacing w:line="288" w:lineRule="auto"/>
        <w:jc w:val="left"/>
        <w:rPr>
          <w:rFonts w:hint="default" w:ascii="MS Sans Serif" w:hAnsi="MS Sans Serif"/>
          <w:color w:val="000000"/>
          <w:kern w:val="0"/>
          <w:sz w:val="24"/>
          <w:szCs w:val="24"/>
        </w:rPr>
      </w:pPr>
    </w:p>
    <w:p>
      <w:pPr>
        <w:spacing w:line="288" w:lineRule="auto"/>
        <w:jc w:val="left"/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本报告并非宣传推介材料，所载内容仅供特定客户参考。</w:t>
      </w:r>
    </w:p>
    <w:p>
      <w:pPr>
        <w:spacing w:line="288" w:lineRule="auto"/>
        <w:jc w:val="left"/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任何人不得对本报告进行任何形式的发布、复制或删改，否</w:t>
      </w:r>
    </w:p>
    <w:p>
      <w:pPr>
        <w:spacing w:line="288" w:lineRule="auto"/>
        <w:jc w:val="left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则将构成侵权。</w:t>
      </w:r>
    </w:p>
    <w:p>
      <w:pPr>
        <w:spacing w:line="288" w:lineRule="auto"/>
        <w:jc w:val="left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投资有风险，请理性选择。理财资产管理人承诺以诚实信用、</w:t>
      </w:r>
    </w:p>
    <w:p>
      <w:pPr>
        <w:spacing w:line="288" w:lineRule="auto"/>
        <w:jc w:val="left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勤勉尽责的原则管理和运用委托资产，但不保证委托资产一</w:t>
      </w:r>
    </w:p>
    <w:p>
      <w:pPr>
        <w:spacing w:line="288" w:lineRule="auto"/>
        <w:jc w:val="left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定盈利，也不保证最低收益。委托资产的过往业绩及净值</w:t>
      </w:r>
    </w:p>
    <w:p>
      <w:pPr>
        <w:spacing w:line="288" w:lineRule="auto"/>
        <w:jc w:val="left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高低并不预示其未来业绩表现，管理人管理的其他资产的业</w:t>
      </w:r>
    </w:p>
    <w:p>
      <w:pPr>
        <w:spacing w:line="288" w:lineRule="auto"/>
        <w:jc w:val="left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/>
        </w:rPr>
        <w:t>绩也不构成委托资产业绩表现的保证。</w:t>
      </w:r>
    </w:p>
    <w:p>
      <w:pPr>
        <w:autoSpaceDE w:val="0"/>
        <w:autoSpaceDN w:val="0"/>
        <w:adjustRightInd w:val="0"/>
        <w:spacing w:line="288" w:lineRule="auto"/>
        <w:jc w:val="left"/>
        <w:rPr>
          <w:rFonts w:hint="default" w:ascii="MS Sans Serif" w:hAnsi="MS Sans Serif"/>
          <w:color w:val="000000"/>
          <w:kern w:val="0"/>
          <w:sz w:val="24"/>
          <w:szCs w:val="24"/>
        </w:rPr>
      </w:pPr>
    </w:p>
    <w:p>
      <w:bookmarkStart w:id="0" w:name="_GoBack"/>
      <w:bookmarkEnd w:id="0"/>
    </w:p>
    <w:sectPr>
      <w:pgSz w:w="11926" w:h="16867"/>
      <w:pgMar w:top="1046" w:right="1420" w:bottom="852" w:left="142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MS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ZSSK--GBK1-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jc w:val="center"/>
      <w:rPr>
        <w:rFonts w:hint="default" w:ascii="宋体" w:hAnsi="宋体" w:cs="宋体"/>
      </w:rPr>
    </w:pPr>
    <w:r>
      <w:rPr>
        <w:rFonts w:hint="default" w:ascii="宋体"/>
        <w:kern w:val="0"/>
        <w:sz w:val="24"/>
        <w:szCs w:val="24"/>
      </w:rPr>
      <w:t xml:space="preserve"> </w:t>
    </w:r>
    <w:r>
      <w:rPr>
        <w:rFonts w:hint="eastAsia" w:ascii="宋体" w:hAnsi="宋体" w:cs="宋体"/>
        <w:kern w:val="0"/>
        <w:szCs w:val="21"/>
      </w:rPr>
      <w:t>第</w:t>
    </w:r>
    <w:r>
      <w:rPr>
        <w:rFonts w:hint="default" w:ascii="宋体" w:hAnsi="宋体" w:cs="宋体"/>
        <w:kern w:val="0"/>
        <w:szCs w:val="21"/>
      </w:rPr>
      <w:t xml:space="preserve"> </w:t>
    </w:r>
    <w:r>
      <w:rPr>
        <w:rFonts w:hint="default" w:ascii="宋体" w:hAnsi="宋体" w:cs="宋体"/>
        <w:kern w:val="0"/>
        <w:szCs w:val="21"/>
      </w:rPr>
      <w:fldChar w:fldCharType="begin"/>
    </w:r>
    <w:r>
      <w:rPr>
        <w:rFonts w:hint="default" w:ascii="宋体" w:hAnsi="宋体" w:cs="宋体"/>
        <w:kern w:val="0"/>
        <w:szCs w:val="21"/>
      </w:rPr>
      <w:instrText xml:space="preserve"> PAGE </w:instrText>
    </w:r>
    <w:r>
      <w:rPr>
        <w:rFonts w:hint="default" w:ascii="宋体" w:hAnsi="宋体" w:cs="宋体"/>
        <w:kern w:val="0"/>
        <w:szCs w:val="21"/>
      </w:rPr>
      <w:fldChar w:fldCharType="separate"/>
    </w:r>
    <w:r>
      <w:rPr>
        <w:rFonts w:hint="default" w:ascii="宋体" w:hAnsi="宋体" w:cs="宋体"/>
        <w:kern w:val="0"/>
        <w:szCs w:val="21"/>
      </w:rPr>
      <w:t>6</w:t>
    </w:r>
    <w:r>
      <w:rPr>
        <w:rFonts w:hint="default" w:ascii="宋体" w:hAnsi="宋体" w:cs="宋体"/>
        <w:kern w:val="0"/>
        <w:szCs w:val="21"/>
      </w:rPr>
      <w:fldChar w:fldCharType="end"/>
    </w:r>
    <w:r>
      <w:rPr>
        <w:rFonts w:hint="default" w:ascii="宋体" w:hAnsi="宋体" w:cs="宋体"/>
        <w:kern w:val="0"/>
        <w:szCs w:val="21"/>
      </w:rPr>
      <w:t xml:space="preserve"> </w:t>
    </w:r>
    <w:r>
      <w:rPr>
        <w:rFonts w:hint="eastAsia" w:ascii="宋体" w:hAnsi="宋体" w:cs="宋体"/>
        <w:kern w:val="0"/>
        <w:szCs w:val="21"/>
      </w:rPr>
      <w:t>页</w:t>
    </w:r>
    <w:r>
      <w:rPr>
        <w:rFonts w:hint="default" w:ascii="宋体" w:hAnsi="宋体" w:cs="宋体"/>
        <w:kern w:val="0"/>
        <w:szCs w:val="21"/>
      </w:rPr>
      <w:t xml:space="preserve"> </w:t>
    </w:r>
    <w:r>
      <w:rPr>
        <w:rFonts w:hint="eastAsia" w:ascii="宋体" w:hAnsi="宋体" w:cs="宋体"/>
        <w:kern w:val="0"/>
        <w:szCs w:val="21"/>
      </w:rPr>
      <w:t>共</w:t>
    </w:r>
    <w:r>
      <w:rPr>
        <w:rFonts w:hint="default" w:ascii="宋体" w:hAnsi="宋体" w:cs="宋体"/>
        <w:kern w:val="0"/>
        <w:szCs w:val="21"/>
      </w:rPr>
      <w:t xml:space="preserve"> </w:t>
    </w:r>
    <w:r>
      <w:rPr>
        <w:rFonts w:hint="default" w:ascii="宋体" w:hAnsi="宋体" w:cs="宋体"/>
        <w:kern w:val="0"/>
        <w:szCs w:val="21"/>
      </w:rPr>
      <w:fldChar w:fldCharType="begin"/>
    </w:r>
    <w:r>
      <w:rPr>
        <w:rFonts w:hint="default" w:ascii="宋体" w:hAnsi="宋体" w:cs="宋体"/>
        <w:kern w:val="0"/>
        <w:szCs w:val="21"/>
      </w:rPr>
      <w:instrText xml:space="preserve"> NUMPAGES </w:instrText>
    </w:r>
    <w:r>
      <w:rPr>
        <w:rFonts w:hint="default" w:ascii="宋体" w:hAnsi="宋体" w:cs="宋体"/>
        <w:kern w:val="0"/>
        <w:szCs w:val="21"/>
      </w:rPr>
      <w:fldChar w:fldCharType="separate"/>
    </w:r>
    <w:r>
      <w:rPr>
        <w:rFonts w:hint="default" w:ascii="宋体" w:hAnsi="宋体" w:cs="宋体"/>
        <w:kern w:val="0"/>
        <w:szCs w:val="21"/>
      </w:rPr>
      <w:t>6</w:t>
    </w:r>
    <w:r>
      <w:rPr>
        <w:rFonts w:hint="default" w:ascii="宋体" w:hAnsi="宋体" w:cs="宋体"/>
        <w:kern w:val="0"/>
        <w:szCs w:val="21"/>
      </w:rPr>
      <w:fldChar w:fldCharType="end"/>
    </w:r>
    <w:r>
      <w:rPr>
        <w:rFonts w:hint="default" w:ascii="宋体" w:hAnsi="宋体" w:cs="宋体"/>
        <w:kern w:val="0"/>
        <w:szCs w:val="21"/>
      </w:rPr>
      <w:t xml:space="preserve"> </w:t>
    </w:r>
    <w:r>
      <w:rPr>
        <w:rFonts w:hint="eastAsia" w:ascii="宋体" w:hAnsi="宋体" w:cs="宋体"/>
        <w:kern w:val="0"/>
        <w:szCs w:val="21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15022" w:type="dxa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515"/>
      <w:gridCol w:w="7507"/>
    </w:tblGrid>
    <w:tr>
      <w:tblPrEx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7515" w:type="dxa"/>
          <w:tcBorders>
            <w:top w:val="single" w:color="000000" w:sz="8" w:space="0"/>
            <w:left w:val="nil"/>
            <w:bottom w:val="nil"/>
            <w:right w:val="nil"/>
          </w:tcBorders>
          <w:shd w:val="clear" w:color="auto" w:fill="auto"/>
        </w:tcPr>
        <w:p>
          <w:pPr>
            <w:autoSpaceDE w:val="0"/>
            <w:autoSpaceDN w:val="0"/>
            <w:adjustRightInd w:val="0"/>
            <w:jc w:val="left"/>
            <w:rPr>
              <w:rFonts w:hint="default" w:ascii="Arial" w:hAnsi="Arial" w:cs="Arial"/>
              <w:color w:val="000000"/>
              <w:kern w:val="0"/>
              <w:sz w:val="2"/>
              <w:szCs w:val="2"/>
            </w:rPr>
          </w:pPr>
        </w:p>
      </w:tc>
      <w:tc>
        <w:tcPr>
          <w:tcW w:w="7507" w:type="dxa"/>
          <w:tcBorders>
            <w:top w:val="single" w:color="000000" w:sz="8" w:space="0"/>
            <w:left w:val="nil"/>
            <w:bottom w:val="nil"/>
            <w:right w:val="nil"/>
          </w:tcBorders>
          <w:shd w:val="clear" w:color="auto" w:fill="auto"/>
        </w:tcPr>
        <w:p>
          <w:pPr>
            <w:autoSpaceDE w:val="0"/>
            <w:autoSpaceDN w:val="0"/>
            <w:adjustRightInd w:val="0"/>
            <w:jc w:val="left"/>
            <w:rPr>
              <w:rFonts w:hint="default" w:ascii="Arial" w:hAnsi="Arial" w:cs="Arial"/>
              <w:color w:val="000000"/>
              <w:kern w:val="0"/>
              <w:sz w:val="2"/>
              <w:szCs w:val="2"/>
            </w:rPr>
          </w:pPr>
        </w:p>
      </w:tc>
    </w:tr>
  </w:tbl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91C55"/>
    <w:multiLevelType w:val="singleLevel"/>
    <w:tmpl w:val="5EB91C55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writeProtection w:cryptProviderType="rsaFull" w:cryptAlgorithmClass="hash" w:cryptAlgorithmType="typeAny" w:cryptAlgorithmSid="4" w:cryptSpinCount="100000" w:hash="xPbHQNGSwJ8dO8O5+Wa1ehS8gc0=" w:salt="XgxCo4+rKrk/45kpVVPwlQ==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BA710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snapToGrid w:val="0"/>
      <w:jc w:val="left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wangxuehan</dc:creator>
  <cp:lastModifiedBy>王雪寒</cp:lastModifiedBy>
  <dcterms:modified xsi:type="dcterms:W3CDTF">2020-05-11T09:24:41Z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